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540FB" w14:textId="5542F4BB" w:rsidR="00985C57" w:rsidRPr="00A736DA" w:rsidRDefault="00985C57" w:rsidP="00985C57">
      <w:pPr>
        <w:pStyle w:val="NormalWeb"/>
        <w:shd w:val="clear" w:color="auto" w:fill="FFFFFF"/>
        <w:rPr>
          <w:rFonts w:ascii="Helvetica" w:hAnsi="Helvetica"/>
          <w:sz w:val="22"/>
          <w:szCs w:val="22"/>
        </w:rPr>
      </w:pPr>
      <w:r w:rsidRPr="00A736DA">
        <w:rPr>
          <w:rFonts w:ascii="Helvetica" w:hAnsi="Helvetica"/>
          <w:sz w:val="22"/>
          <w:szCs w:val="22"/>
        </w:rPr>
        <w:t>Submission</w:t>
      </w:r>
      <w:r w:rsidR="000F3E5E" w:rsidRPr="00A736DA">
        <w:rPr>
          <w:rFonts w:ascii="Helvetica" w:hAnsi="Helvetica"/>
          <w:sz w:val="22"/>
          <w:szCs w:val="22"/>
        </w:rPr>
        <w:t xml:space="preserve"> </w:t>
      </w:r>
      <w:r w:rsidRPr="00A736DA">
        <w:rPr>
          <w:rFonts w:ascii="Helvetica" w:hAnsi="Helvetica"/>
          <w:sz w:val="22"/>
          <w:szCs w:val="22"/>
        </w:rPr>
        <w:t xml:space="preserve">on Proposed Plan Change 78 Auckland Unitary Plan (Freemans Bay) </w:t>
      </w:r>
    </w:p>
    <w:p w14:paraId="74E4FAC7" w14:textId="77777777" w:rsidR="000F3E5E" w:rsidRPr="00A736DA" w:rsidRDefault="00985C57" w:rsidP="00985C57">
      <w:pPr>
        <w:pStyle w:val="NormalWeb"/>
        <w:shd w:val="clear" w:color="auto" w:fill="FFFFFF"/>
        <w:rPr>
          <w:rFonts w:ascii="Helvetica" w:hAnsi="Helvetica"/>
          <w:sz w:val="22"/>
          <w:szCs w:val="22"/>
        </w:rPr>
      </w:pPr>
      <w:r w:rsidRPr="00A736DA">
        <w:rPr>
          <w:rFonts w:ascii="Helvetica" w:hAnsi="Helvetica"/>
          <w:sz w:val="22"/>
          <w:szCs w:val="22"/>
        </w:rPr>
        <w:t xml:space="preserve">To: unitaryplan@aucklandcouncil.govt.nz </w:t>
      </w:r>
    </w:p>
    <w:p w14:paraId="72AABBE4" w14:textId="4FAE8303"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Submitter: </w:t>
      </w:r>
    </w:p>
    <w:p w14:paraId="6B856F40" w14:textId="2609083D" w:rsidR="00487C11" w:rsidRPr="00A736DA" w:rsidRDefault="00985C57" w:rsidP="004A08A7">
      <w:pPr>
        <w:pStyle w:val="NoSpacing"/>
        <w:rPr>
          <w:sz w:val="22"/>
          <w:szCs w:val="22"/>
        </w:rPr>
      </w:pPr>
      <w:r w:rsidRPr="00A736DA">
        <w:rPr>
          <w:sz w:val="22"/>
          <w:szCs w:val="22"/>
        </w:rPr>
        <w:t xml:space="preserve">Full </w:t>
      </w:r>
      <w:r w:rsidR="00190320" w:rsidRPr="00A736DA">
        <w:rPr>
          <w:sz w:val="22"/>
          <w:szCs w:val="22"/>
        </w:rPr>
        <w:t>Name:</w:t>
      </w:r>
    </w:p>
    <w:p w14:paraId="0A606DE4" w14:textId="77777777" w:rsidR="00487C11" w:rsidRPr="00A736DA" w:rsidRDefault="00985C57" w:rsidP="004A08A7">
      <w:pPr>
        <w:pStyle w:val="NoSpacing"/>
        <w:rPr>
          <w:sz w:val="22"/>
          <w:szCs w:val="22"/>
        </w:rPr>
      </w:pPr>
      <w:r w:rsidRPr="00A736DA">
        <w:rPr>
          <w:sz w:val="22"/>
          <w:szCs w:val="22"/>
        </w:rPr>
        <w:t xml:space="preserve">Address: </w:t>
      </w:r>
    </w:p>
    <w:p w14:paraId="4136D7A5" w14:textId="77777777" w:rsidR="00487C11" w:rsidRPr="00A736DA" w:rsidRDefault="00985C57" w:rsidP="004A08A7">
      <w:pPr>
        <w:pStyle w:val="NoSpacing"/>
        <w:rPr>
          <w:sz w:val="22"/>
          <w:szCs w:val="22"/>
        </w:rPr>
      </w:pPr>
      <w:r w:rsidRPr="00A736DA">
        <w:rPr>
          <w:sz w:val="22"/>
          <w:szCs w:val="22"/>
        </w:rPr>
        <w:t xml:space="preserve">Phone: </w:t>
      </w:r>
    </w:p>
    <w:p w14:paraId="1AF70A73" w14:textId="5A1F8C05" w:rsidR="00985C57" w:rsidRPr="00A736DA" w:rsidRDefault="00985C57">
      <w:pPr>
        <w:pStyle w:val="NoSpacing"/>
        <w:rPr>
          <w:sz w:val="22"/>
          <w:szCs w:val="22"/>
        </w:rPr>
      </w:pPr>
      <w:r w:rsidRPr="00A736DA">
        <w:rPr>
          <w:sz w:val="22"/>
          <w:szCs w:val="22"/>
        </w:rPr>
        <w:t xml:space="preserve">Email: </w:t>
      </w:r>
    </w:p>
    <w:p w14:paraId="2B702D36" w14:textId="77777777" w:rsidR="000F3E5E" w:rsidRPr="00342B04" w:rsidRDefault="000F3E5E" w:rsidP="000F3E5E">
      <w:pPr>
        <w:pStyle w:val="NormalWeb"/>
        <w:shd w:val="clear" w:color="auto" w:fill="FFFFFF"/>
        <w:rPr>
          <w:b/>
          <w:bCs/>
          <w:sz w:val="22"/>
          <w:szCs w:val="22"/>
        </w:rPr>
      </w:pPr>
      <w:r w:rsidRPr="00342B04">
        <w:rPr>
          <w:rFonts w:ascii="Helvetica" w:hAnsi="Helvetica"/>
          <w:b/>
          <w:bCs/>
          <w:sz w:val="22"/>
          <w:szCs w:val="22"/>
        </w:rPr>
        <w:t xml:space="preserve">I confirm I am directly affected by the matters referred to in this submission. I could not gain an advantage in trade through this submission. </w:t>
      </w:r>
      <w:bookmarkStart w:id="0" w:name="_GoBack"/>
      <w:bookmarkEnd w:id="0"/>
    </w:p>
    <w:p w14:paraId="1258918E" w14:textId="77777777" w:rsidR="00985C57" w:rsidRPr="00A736DA" w:rsidRDefault="00985C57" w:rsidP="00985C57">
      <w:pPr>
        <w:pStyle w:val="NormalWeb"/>
        <w:shd w:val="clear" w:color="auto" w:fill="FFFFFF"/>
        <w:rPr>
          <w:sz w:val="22"/>
          <w:szCs w:val="22"/>
        </w:rPr>
      </w:pPr>
      <w:r w:rsidRPr="00A736DA">
        <w:rPr>
          <w:rFonts w:ascii="Helvetica" w:hAnsi="Helvetica"/>
          <w:b/>
          <w:bCs/>
          <w:sz w:val="22"/>
          <w:szCs w:val="22"/>
        </w:rPr>
        <w:t xml:space="preserve">Scope of submission - Freemans Bay </w:t>
      </w:r>
    </w:p>
    <w:p w14:paraId="35271AC2" w14:textId="77777777" w:rsidR="00985C57" w:rsidRPr="00A736DA" w:rsidRDefault="00985C57" w:rsidP="00985C57">
      <w:pPr>
        <w:pStyle w:val="NormalWeb"/>
        <w:shd w:val="clear" w:color="auto" w:fill="FFFFFF"/>
        <w:rPr>
          <w:i/>
          <w:iCs/>
          <w:sz w:val="22"/>
          <w:szCs w:val="22"/>
        </w:rPr>
      </w:pPr>
      <w:r w:rsidRPr="00A736DA">
        <w:rPr>
          <w:rFonts w:ascii="Helvetica" w:hAnsi="Helvetica"/>
          <w:i/>
          <w:iCs/>
          <w:sz w:val="22"/>
          <w:szCs w:val="22"/>
        </w:rPr>
        <w:t xml:space="preserve">A. Background- Freemans Bay Historic Heritage Precinct and Community </w:t>
      </w:r>
    </w:p>
    <w:p w14:paraId="383A4930"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1. Freemans Bay is a largely intact historic heritage precinct with European settlement commencing in the area from the 1840’s. The cadastral layout of Freemans Bay is based on the workers cottages of the late 19th century. </w:t>
      </w:r>
    </w:p>
    <w:p w14:paraId="2F167F92"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2. The age of housing predominantly ranges from the period 1860 to 1930. For many years planning controls have required new buildings and alterations to be in keeping with the historic heritage nature of the area and as a consequence Freemans Bay has retained its status as an historic heritage precinct. </w:t>
      </w:r>
    </w:p>
    <w:p w14:paraId="4790F90F" w14:textId="46538DA9" w:rsidR="0057064A" w:rsidRPr="00A736DA" w:rsidRDefault="00985C57" w:rsidP="00985C57">
      <w:pPr>
        <w:pStyle w:val="NormalWeb"/>
        <w:shd w:val="clear" w:color="auto" w:fill="FFFFFF"/>
        <w:rPr>
          <w:rFonts w:ascii="Helvetica" w:hAnsi="Helvetica"/>
          <w:sz w:val="22"/>
          <w:szCs w:val="22"/>
        </w:rPr>
      </w:pPr>
      <w:r w:rsidRPr="00A736DA">
        <w:rPr>
          <w:rFonts w:ascii="Helvetica" w:hAnsi="Helvetica"/>
          <w:sz w:val="22"/>
          <w:szCs w:val="22"/>
        </w:rPr>
        <w:t xml:space="preserve">3. Freemans Bay is a successful tightly defined community with already existing mixed housing types and very significant existing intensification. Approximately 40 % of Freemans Bay is already zoned THAB (Terrace Housing and Apartment Zone)  under the Auckland Unitary Plan. </w:t>
      </w:r>
    </w:p>
    <w:p w14:paraId="72F19926" w14:textId="36E90E56" w:rsidR="00487C11" w:rsidRPr="00A736DA" w:rsidRDefault="008552AB" w:rsidP="00985C57">
      <w:pPr>
        <w:pStyle w:val="NormalWeb"/>
        <w:shd w:val="clear" w:color="auto" w:fill="FFFFFF"/>
        <w:rPr>
          <w:sz w:val="22"/>
          <w:szCs w:val="22"/>
        </w:rPr>
      </w:pPr>
      <w:r w:rsidRPr="00A736DA">
        <w:rPr>
          <w:rFonts w:ascii="Helvetica" w:hAnsi="Helvetica"/>
          <w:sz w:val="22"/>
          <w:szCs w:val="22"/>
        </w:rPr>
        <w:t>4. Over many years Auckland City Council and Auckland Council have shown their commitment to protect Heritage and Character areas. Property owners acting on reliance of Auckland Councils commitment have progressively upgraded and continued to maintain the unique built character of the area.</w:t>
      </w:r>
    </w:p>
    <w:p w14:paraId="4160A7C5" w14:textId="4C282B53" w:rsidR="00985C57" w:rsidRPr="00A736DA" w:rsidRDefault="00985C57" w:rsidP="00985C57">
      <w:pPr>
        <w:pStyle w:val="NormalWeb"/>
        <w:shd w:val="clear" w:color="auto" w:fill="FFFFFF"/>
        <w:rPr>
          <w:i/>
          <w:iCs/>
          <w:sz w:val="22"/>
          <w:szCs w:val="22"/>
        </w:rPr>
      </w:pPr>
      <w:r w:rsidRPr="00A736DA">
        <w:rPr>
          <w:rFonts w:ascii="Helvetica" w:hAnsi="Helvetica"/>
          <w:i/>
          <w:iCs/>
          <w:sz w:val="22"/>
          <w:szCs w:val="22"/>
        </w:rPr>
        <w:t xml:space="preserve">B. Submission on proposed classifications for Freemans Bay (excluding existing THAB </w:t>
      </w:r>
      <w:r w:rsidR="00A347EE" w:rsidRPr="00A736DA">
        <w:rPr>
          <w:rFonts w:ascii="Helvetica" w:hAnsi="Helvetica"/>
          <w:i/>
          <w:iCs/>
          <w:sz w:val="22"/>
          <w:szCs w:val="22"/>
        </w:rPr>
        <w:t xml:space="preserve">and mixed use zoned </w:t>
      </w:r>
      <w:r w:rsidRPr="00A736DA">
        <w:rPr>
          <w:rFonts w:ascii="Helvetica" w:hAnsi="Helvetica"/>
          <w:i/>
          <w:iCs/>
          <w:sz w:val="22"/>
          <w:szCs w:val="22"/>
        </w:rPr>
        <w:t>areas</w:t>
      </w:r>
      <w:r w:rsidR="00C67EF7" w:rsidRPr="00A736DA">
        <w:rPr>
          <w:rFonts w:ascii="Helvetica" w:hAnsi="Helvetica"/>
          <w:i/>
          <w:iCs/>
          <w:sz w:val="22"/>
          <w:szCs w:val="22"/>
        </w:rPr>
        <w:t>)</w:t>
      </w:r>
      <w:r w:rsidR="00A347EE" w:rsidRPr="00A736DA">
        <w:rPr>
          <w:rFonts w:ascii="Helvetica" w:hAnsi="Helvetica"/>
          <w:i/>
          <w:iCs/>
          <w:sz w:val="22"/>
          <w:szCs w:val="22"/>
        </w:rPr>
        <w:t>.</w:t>
      </w:r>
    </w:p>
    <w:p w14:paraId="34110E74"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1. I support the proposed Special Character Areas (SCA) for Freemans Bay and the proposed Low Density Residential Zone (LDRZ) for Freemans Bay. </w:t>
      </w:r>
    </w:p>
    <w:p w14:paraId="5466A0D9" w14:textId="0C221576" w:rsidR="004A08A7" w:rsidRPr="00A736DA" w:rsidRDefault="00985C57" w:rsidP="004A08A7">
      <w:pPr>
        <w:pStyle w:val="PlainText"/>
        <w:rPr>
          <w:rFonts w:ascii="Helvetica" w:hAnsi="Helvetica" w:cs="Helvetica"/>
          <w:szCs w:val="22"/>
        </w:rPr>
      </w:pPr>
      <w:r w:rsidRPr="00A736DA">
        <w:rPr>
          <w:rFonts w:ascii="Helvetica" w:hAnsi="Helvetica"/>
          <w:szCs w:val="22"/>
        </w:rPr>
        <w:t xml:space="preserve">2. </w:t>
      </w:r>
      <w:r w:rsidR="002B75E7" w:rsidRPr="00A736DA">
        <w:rPr>
          <w:rFonts w:ascii="Helvetica" w:hAnsi="Helvetica" w:cs="Helvetica"/>
          <w:szCs w:val="22"/>
        </w:rPr>
        <w:t xml:space="preserve">I do not support the shrinking of the Special Character overlay areas and request that the entire area covered by the AUP Overlay be retained. </w:t>
      </w:r>
      <w:r w:rsidR="004A08A7" w:rsidRPr="00A736DA">
        <w:rPr>
          <w:rFonts w:ascii="Helvetica" w:hAnsi="Helvetica" w:cs="Helvetica"/>
          <w:szCs w:val="22"/>
        </w:rPr>
        <w:t>For clarity, this excludes the existing THAB and Business Mixed Use zoned areas.</w:t>
      </w:r>
    </w:p>
    <w:p w14:paraId="5A56D6A0" w14:textId="6109E69A" w:rsidR="00985C57" w:rsidRPr="001331B7" w:rsidRDefault="00A736DA" w:rsidP="00985C57">
      <w:pPr>
        <w:pStyle w:val="NormalWeb"/>
        <w:shd w:val="clear" w:color="auto" w:fill="FFFFFF"/>
      </w:pPr>
      <w:r>
        <w:rPr>
          <w:rFonts w:ascii="Helvetica" w:hAnsi="Helvetica"/>
          <w:sz w:val="22"/>
          <w:szCs w:val="22"/>
        </w:rPr>
        <w:t xml:space="preserve">3. </w:t>
      </w:r>
      <w:r w:rsidR="00985C57" w:rsidRPr="00A736DA">
        <w:rPr>
          <w:rFonts w:ascii="Helvetica" w:hAnsi="Helvetica"/>
          <w:sz w:val="22"/>
          <w:szCs w:val="22"/>
        </w:rPr>
        <w:t>Freemans Bay as a whole is a</w:t>
      </w:r>
      <w:r w:rsidR="000A0B3F" w:rsidRPr="00A736DA">
        <w:rPr>
          <w:rFonts w:ascii="Helvetica" w:hAnsi="Helvetica"/>
          <w:sz w:val="22"/>
          <w:szCs w:val="22"/>
        </w:rPr>
        <w:t>n</w:t>
      </w:r>
      <w:r w:rsidR="00985C57" w:rsidRPr="00A736DA">
        <w:rPr>
          <w:rFonts w:ascii="Helvetica" w:hAnsi="Helvetica"/>
          <w:sz w:val="22"/>
          <w:szCs w:val="22"/>
        </w:rPr>
        <w:t xml:space="preserve"> historic heritage precinct and a partial re zoning</w:t>
      </w:r>
      <w:r w:rsidR="001331B7">
        <w:rPr>
          <w:rFonts w:ascii="Helvetica" w:hAnsi="Helvetica"/>
          <w:sz w:val="22"/>
          <w:szCs w:val="22"/>
        </w:rPr>
        <w:t xml:space="preserve">               a) </w:t>
      </w:r>
      <w:r w:rsidR="00985C57" w:rsidRPr="00A736DA">
        <w:t>Undermines the integrity of the precinct</w:t>
      </w:r>
      <w:r w:rsidR="001331B7">
        <w:t xml:space="preserve">,                                                                              b) </w:t>
      </w:r>
      <w:r w:rsidR="00985C57" w:rsidRPr="00A736DA">
        <w:rPr>
          <w:rFonts w:ascii="Helvetica" w:hAnsi="Helvetica"/>
          <w:sz w:val="22"/>
          <w:szCs w:val="22"/>
        </w:rPr>
        <w:t>Will adversely affect the individual properties within SCA adjacent to proposed intensified</w:t>
      </w:r>
      <w:r w:rsidR="00BF0F51">
        <w:rPr>
          <w:rFonts w:ascii="Helvetica" w:hAnsi="Helvetica"/>
          <w:sz w:val="22"/>
          <w:szCs w:val="22"/>
        </w:rPr>
        <w:t xml:space="preserve"> </w:t>
      </w:r>
      <w:r w:rsidR="00985C57" w:rsidRPr="00A736DA">
        <w:rPr>
          <w:rFonts w:ascii="Helvetica" w:hAnsi="Helvetica"/>
          <w:sz w:val="22"/>
          <w:szCs w:val="22"/>
        </w:rPr>
        <w:t>areas</w:t>
      </w:r>
      <w:r w:rsidR="00BF0F51">
        <w:rPr>
          <w:rFonts w:ascii="Helvetica" w:hAnsi="Helvetica"/>
          <w:sz w:val="22"/>
          <w:szCs w:val="22"/>
        </w:rPr>
        <w:t>.</w:t>
      </w:r>
      <w:r w:rsidR="001331B7">
        <w:t xml:space="preserve">                                                                                                                                          </w:t>
      </w:r>
      <w:r w:rsidR="001331B7">
        <w:rPr>
          <w:rFonts w:ascii="Helvetica" w:hAnsi="Helvetica"/>
          <w:sz w:val="22"/>
          <w:szCs w:val="22"/>
        </w:rPr>
        <w:lastRenderedPageBreak/>
        <w:t>c)</w:t>
      </w:r>
      <w:r w:rsidR="008552AB" w:rsidRPr="00A736DA">
        <w:rPr>
          <w:rFonts w:ascii="Helvetica" w:hAnsi="Helvetica"/>
          <w:sz w:val="22"/>
          <w:szCs w:val="22"/>
        </w:rPr>
        <w:t xml:space="preserve"> At the density enabled would generate construction effects and long term access and parking difficulties that would make the congestion at an extreme level.</w:t>
      </w:r>
      <w:r w:rsidR="00985C57" w:rsidRPr="00A736DA">
        <w:rPr>
          <w:rFonts w:ascii="Helvetica" w:hAnsi="Helvetica"/>
          <w:sz w:val="22"/>
          <w:szCs w:val="22"/>
        </w:rPr>
        <w:t xml:space="preserve"> </w:t>
      </w:r>
    </w:p>
    <w:p w14:paraId="3A7B9029" w14:textId="6A0C8E6A" w:rsidR="00A347EE" w:rsidRPr="00A736DA" w:rsidRDefault="00A736DA" w:rsidP="00985C57">
      <w:pPr>
        <w:pStyle w:val="NormalWeb"/>
        <w:shd w:val="clear" w:color="auto" w:fill="FFFFFF"/>
        <w:rPr>
          <w:sz w:val="22"/>
          <w:szCs w:val="22"/>
        </w:rPr>
      </w:pPr>
      <w:r>
        <w:rPr>
          <w:rFonts w:ascii="Helvetica" w:hAnsi="Helvetica"/>
          <w:sz w:val="22"/>
          <w:szCs w:val="22"/>
        </w:rPr>
        <w:t>4</w:t>
      </w:r>
      <w:r w:rsidR="00985C57" w:rsidRPr="00A736DA">
        <w:rPr>
          <w:rFonts w:ascii="Helvetica" w:hAnsi="Helvetica"/>
          <w:sz w:val="22"/>
          <w:szCs w:val="22"/>
        </w:rPr>
        <w:t xml:space="preserve">. I oppose the proposed rezoning of the existing Medium Urban Housing (MHU) cluster comprising 2-8 Ryle Street and 32-34 Wood Street. The existing zoning provides adequately for the use of pensioner/social housing and re zoning will have an </w:t>
      </w:r>
      <w:r w:rsidR="00190320" w:rsidRPr="00A736DA">
        <w:rPr>
          <w:rFonts w:ascii="Helvetica" w:hAnsi="Helvetica"/>
          <w:sz w:val="22"/>
          <w:szCs w:val="22"/>
        </w:rPr>
        <w:t>adverse effect</w:t>
      </w:r>
      <w:r w:rsidR="00985C57" w:rsidRPr="00A736DA">
        <w:rPr>
          <w:rFonts w:ascii="Helvetica" w:hAnsi="Helvetica"/>
          <w:sz w:val="22"/>
          <w:szCs w:val="22"/>
        </w:rPr>
        <w:t xml:space="preserve"> on the adjoining SCA individual properties and area. </w:t>
      </w:r>
      <w:r w:rsidR="008552AB" w:rsidRPr="00A736DA">
        <w:rPr>
          <w:rFonts w:ascii="Helvetica" w:hAnsi="Helvetica"/>
          <w:sz w:val="22"/>
          <w:szCs w:val="22"/>
        </w:rPr>
        <w:t xml:space="preserve">If the land is to be rezoned I request that the LDRZ be </w:t>
      </w:r>
      <w:proofErr w:type="spellStart"/>
      <w:r w:rsidR="008552AB" w:rsidRPr="00A736DA">
        <w:rPr>
          <w:rFonts w:ascii="Helvetica" w:hAnsi="Helvetica"/>
          <w:sz w:val="22"/>
          <w:szCs w:val="22"/>
        </w:rPr>
        <w:t>consistant</w:t>
      </w:r>
      <w:proofErr w:type="spellEnd"/>
      <w:r w:rsidR="008552AB" w:rsidRPr="00A736DA">
        <w:rPr>
          <w:rFonts w:ascii="Helvetica" w:hAnsi="Helvetica"/>
          <w:sz w:val="22"/>
          <w:szCs w:val="22"/>
        </w:rPr>
        <w:t xml:space="preserve"> with neighbouring sites and subject to SCA overlay.</w:t>
      </w:r>
    </w:p>
    <w:p w14:paraId="245B1388" w14:textId="5AE2664D" w:rsidR="00985C57" w:rsidRPr="00A736DA" w:rsidRDefault="00985C57" w:rsidP="00985C57">
      <w:pPr>
        <w:pStyle w:val="NormalWeb"/>
        <w:shd w:val="clear" w:color="auto" w:fill="FFFFFF"/>
        <w:rPr>
          <w:i/>
          <w:iCs/>
          <w:sz w:val="22"/>
          <w:szCs w:val="22"/>
        </w:rPr>
      </w:pPr>
      <w:r w:rsidRPr="00A736DA">
        <w:rPr>
          <w:rFonts w:ascii="Helvetica" w:hAnsi="Helvetica"/>
          <w:i/>
          <w:iCs/>
          <w:sz w:val="22"/>
          <w:szCs w:val="22"/>
        </w:rPr>
        <w:t xml:space="preserve">C. Submission opposing any further intensification in Freemans Bay (excluding existing THAB/MHU areas) </w:t>
      </w:r>
    </w:p>
    <w:p w14:paraId="5509143C" w14:textId="3B9C64B1"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I oppose any intensification in Freemans Bay beyond the </w:t>
      </w:r>
      <w:r w:rsidR="00190320" w:rsidRPr="00A736DA">
        <w:rPr>
          <w:rFonts w:ascii="Helvetica" w:hAnsi="Helvetica"/>
          <w:sz w:val="22"/>
          <w:szCs w:val="22"/>
        </w:rPr>
        <w:t>pre-existing</w:t>
      </w:r>
      <w:r w:rsidRPr="00A736DA">
        <w:rPr>
          <w:rFonts w:ascii="Helvetica" w:hAnsi="Helvetica"/>
          <w:sz w:val="22"/>
          <w:szCs w:val="22"/>
        </w:rPr>
        <w:t xml:space="preserve"> provisions in the Auckland Unitary Plan on the following grounds: </w:t>
      </w:r>
    </w:p>
    <w:p w14:paraId="585A14BE"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1. Freemans Bay is a taonga comprising houses constructed of Kauri and other timbers being the mauri and </w:t>
      </w:r>
      <w:proofErr w:type="spellStart"/>
      <w:r w:rsidRPr="00A736DA">
        <w:rPr>
          <w:rFonts w:ascii="Helvetica" w:hAnsi="Helvetica"/>
          <w:sz w:val="22"/>
          <w:szCs w:val="22"/>
        </w:rPr>
        <w:t>wairua</w:t>
      </w:r>
      <w:proofErr w:type="spellEnd"/>
      <w:r w:rsidRPr="00A736DA">
        <w:rPr>
          <w:rFonts w:ascii="Helvetica" w:hAnsi="Helvetica"/>
          <w:sz w:val="22"/>
          <w:szCs w:val="22"/>
        </w:rPr>
        <w:t xml:space="preserve"> of the ancient forests of Aotearoa and should be protected from destruction. </w:t>
      </w:r>
    </w:p>
    <w:p w14:paraId="12DA99CA"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2. Intensification will disrupt a successful, integrated community incorporating a full range of socio economic groups and housing types which instead should be a model for social and economic urban functioning in Auckland. </w:t>
      </w:r>
    </w:p>
    <w:p w14:paraId="674A88E9"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3. Intensification in Freemans Bay will not promote or provide affordable housing because of the cost of land and small section sizes. Previous attempts at intensification in Freemans Bay have failed due to these factors. </w:t>
      </w:r>
    </w:p>
    <w:p w14:paraId="353196BC" w14:textId="3835458A" w:rsidR="0057064A" w:rsidRPr="00A736DA" w:rsidRDefault="00985C57" w:rsidP="00985C57">
      <w:pPr>
        <w:pStyle w:val="NormalWeb"/>
        <w:shd w:val="clear" w:color="auto" w:fill="FFFFFF"/>
        <w:rPr>
          <w:sz w:val="22"/>
          <w:szCs w:val="22"/>
        </w:rPr>
      </w:pPr>
      <w:r w:rsidRPr="00A736DA">
        <w:rPr>
          <w:rFonts w:ascii="Helvetica" w:hAnsi="Helvetica"/>
          <w:sz w:val="22"/>
          <w:szCs w:val="22"/>
        </w:rPr>
        <w:t>4. The proposed walking catchment of 1.2 km from the City Centre edge is not based on evidence and bears no relationship to the transport networks in Freemans Bay</w:t>
      </w:r>
      <w:r w:rsidR="00487C11" w:rsidRPr="00A736DA">
        <w:rPr>
          <w:rFonts w:ascii="Helvetica" w:hAnsi="Helvetica"/>
          <w:sz w:val="22"/>
          <w:szCs w:val="22"/>
        </w:rPr>
        <w:t xml:space="preserve">, </w:t>
      </w:r>
      <w:r w:rsidR="00E577CA" w:rsidRPr="00A736DA">
        <w:rPr>
          <w:rFonts w:ascii="Arial" w:hAnsi="Arial" w:cs="Arial"/>
          <w:sz w:val="22"/>
          <w:szCs w:val="22"/>
        </w:rPr>
        <w:t xml:space="preserve">Britomart, or </w:t>
      </w:r>
      <w:r w:rsidR="009C16D9" w:rsidRPr="00A736DA">
        <w:rPr>
          <w:rFonts w:ascii="Arial" w:hAnsi="Arial" w:cs="Arial"/>
          <w:sz w:val="22"/>
          <w:szCs w:val="22"/>
        </w:rPr>
        <w:t xml:space="preserve">the </w:t>
      </w:r>
      <w:r w:rsidR="00E577CA" w:rsidRPr="00A736DA">
        <w:rPr>
          <w:rFonts w:ascii="Arial" w:hAnsi="Arial" w:cs="Arial"/>
          <w:sz w:val="22"/>
          <w:szCs w:val="22"/>
        </w:rPr>
        <w:t>Queen Street</w:t>
      </w:r>
      <w:r w:rsidR="00512EE1" w:rsidRPr="00A736DA">
        <w:rPr>
          <w:rFonts w:ascii="Arial" w:hAnsi="Arial" w:cs="Arial"/>
          <w:sz w:val="22"/>
          <w:szCs w:val="22"/>
        </w:rPr>
        <w:t>/</w:t>
      </w:r>
      <w:r w:rsidR="00E577CA" w:rsidRPr="00A736DA">
        <w:rPr>
          <w:rFonts w:ascii="Arial" w:hAnsi="Arial" w:cs="Arial"/>
          <w:sz w:val="22"/>
          <w:szCs w:val="22"/>
        </w:rPr>
        <w:t>business centre</w:t>
      </w:r>
      <w:r w:rsidR="005A76AF" w:rsidRPr="00A736DA">
        <w:rPr>
          <w:rFonts w:ascii="Arial" w:hAnsi="Arial" w:cs="Arial"/>
          <w:sz w:val="22"/>
          <w:szCs w:val="22"/>
        </w:rPr>
        <w:t>, which is the focus of employment opportunities.</w:t>
      </w:r>
    </w:p>
    <w:p w14:paraId="2F160DD3" w14:textId="2AB6784B"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5. The designation of the whole of Ponsonby Road as a “ large town centre “ is contrary to normal concepts of a town centre, and is also inconsistent with the proposed treatment of other areas in Auckland. </w:t>
      </w:r>
    </w:p>
    <w:p w14:paraId="7C1D3383" w14:textId="77777777" w:rsidR="00985C57" w:rsidRPr="00A736DA" w:rsidRDefault="00985C57" w:rsidP="00985C57">
      <w:pPr>
        <w:pStyle w:val="NormalWeb"/>
        <w:shd w:val="clear" w:color="auto" w:fill="FFFFFF"/>
        <w:rPr>
          <w:sz w:val="22"/>
          <w:szCs w:val="22"/>
        </w:rPr>
      </w:pPr>
      <w:r w:rsidRPr="00A736DA">
        <w:rPr>
          <w:rFonts w:ascii="Helvetica" w:hAnsi="Helvetica"/>
          <w:sz w:val="22"/>
          <w:szCs w:val="22"/>
        </w:rPr>
        <w:t xml:space="preserve">6. Freemans Bay is comprised largely of small section sizes and as such individual properties will be disproportionately adversely affected by intensification. </w:t>
      </w:r>
    </w:p>
    <w:p w14:paraId="5AB999ED" w14:textId="0F11EACA" w:rsidR="00985C57" w:rsidRPr="00A736DA" w:rsidRDefault="00985C57" w:rsidP="00985C57">
      <w:pPr>
        <w:pStyle w:val="NormalWeb"/>
        <w:shd w:val="clear" w:color="auto" w:fill="FFFFFF"/>
        <w:rPr>
          <w:rFonts w:ascii="Helvetica" w:hAnsi="Helvetica"/>
          <w:sz w:val="22"/>
          <w:szCs w:val="22"/>
        </w:rPr>
      </w:pPr>
      <w:r w:rsidRPr="00A736DA">
        <w:rPr>
          <w:rFonts w:ascii="Helvetica" w:hAnsi="Helvetica"/>
          <w:sz w:val="22"/>
          <w:szCs w:val="22"/>
        </w:rPr>
        <w:t xml:space="preserve">7. The existing infrastructure including three waters, the roading network, car parking and open spaces will not support further development beyond that already permitted. The roading network is unable to support the emergency fire access required for six story plus apartments which is of a completely different risk management profile to the existing housing stock. </w:t>
      </w:r>
    </w:p>
    <w:p w14:paraId="6460EDAD" w14:textId="18842B53" w:rsidR="005A76AF" w:rsidRPr="00A736DA" w:rsidRDefault="005A76AF" w:rsidP="005A76AF">
      <w:pPr>
        <w:rPr>
          <w:rFonts w:ascii="sans-serif" w:hAnsi="sans-serif"/>
          <w:sz w:val="22"/>
          <w:szCs w:val="22"/>
        </w:rPr>
      </w:pPr>
      <w:r w:rsidRPr="00A736DA">
        <w:rPr>
          <w:rFonts w:ascii="sans-serif" w:hAnsi="sans-serif"/>
          <w:sz w:val="22"/>
          <w:szCs w:val="22"/>
        </w:rPr>
        <w:t>8. Freemans Bay has limited street parking. Auckland Transport introduced a Residents Exempt Parking Scheme to enable residents to park in their own suburb. Any intensification of 6 story plus apartments would multiply this issue tenfold and would create blocked streets and gridlock.</w:t>
      </w:r>
    </w:p>
    <w:p w14:paraId="1D52F869" w14:textId="1947D1C8" w:rsidR="00985C57" w:rsidRPr="00A736DA" w:rsidRDefault="005A76AF" w:rsidP="00985C57">
      <w:pPr>
        <w:pStyle w:val="NormalWeb"/>
        <w:shd w:val="clear" w:color="auto" w:fill="FFFFFF"/>
        <w:rPr>
          <w:sz w:val="22"/>
          <w:szCs w:val="22"/>
        </w:rPr>
      </w:pPr>
      <w:r w:rsidRPr="00A736DA">
        <w:rPr>
          <w:sz w:val="22"/>
          <w:szCs w:val="22"/>
        </w:rPr>
        <w:t>9</w:t>
      </w:r>
      <w:r w:rsidR="00985C57" w:rsidRPr="00A736DA">
        <w:rPr>
          <w:rFonts w:ascii="Helvetica" w:hAnsi="Helvetica"/>
          <w:sz w:val="22"/>
          <w:szCs w:val="22"/>
        </w:rPr>
        <w:t xml:space="preserve">. Freemans Bay has an economic value as a world class heritage site adjacent to the Auckland City Centre where the value in its existing form exceeds any potential gains from intensification. </w:t>
      </w:r>
    </w:p>
    <w:p w14:paraId="5224CC33" w14:textId="20D1EDBC" w:rsidR="0057064A" w:rsidRPr="00A736DA" w:rsidRDefault="00985C57" w:rsidP="00985C57">
      <w:pPr>
        <w:pStyle w:val="NormalWeb"/>
        <w:shd w:val="clear" w:color="auto" w:fill="FFFFFF"/>
        <w:rPr>
          <w:rFonts w:ascii="sans-serif" w:hAnsi="sans-serif"/>
          <w:sz w:val="22"/>
          <w:szCs w:val="22"/>
        </w:rPr>
      </w:pPr>
      <w:r w:rsidRPr="00A736DA">
        <w:rPr>
          <w:rFonts w:ascii="Helvetica" w:hAnsi="Helvetica"/>
          <w:sz w:val="22"/>
          <w:szCs w:val="22"/>
        </w:rPr>
        <w:t xml:space="preserve">10. No account has been taken in the proposals of the “Urban Heat Island Effect” or the role of Freemans Bay in providing cooling and amenity to the Auckland City Centre. </w:t>
      </w:r>
      <w:r w:rsidR="00E577CA" w:rsidRPr="00A736DA">
        <w:rPr>
          <w:rFonts w:ascii="sans-serif" w:hAnsi="sans-serif"/>
          <w:sz w:val="22"/>
          <w:szCs w:val="22"/>
        </w:rPr>
        <w:t xml:space="preserve">Auckland Council Planners Report to Plan Change 60 </w:t>
      </w:r>
      <w:r w:rsidR="00AB454A" w:rsidRPr="00A736DA">
        <w:rPr>
          <w:rFonts w:ascii="sans-serif" w:hAnsi="sans-serif"/>
          <w:sz w:val="22"/>
          <w:szCs w:val="22"/>
        </w:rPr>
        <w:t>acknowledges</w:t>
      </w:r>
      <w:r w:rsidR="00E577CA" w:rsidRPr="00A736DA">
        <w:rPr>
          <w:rFonts w:ascii="sans-serif" w:hAnsi="sans-serif"/>
          <w:sz w:val="22"/>
          <w:szCs w:val="22"/>
        </w:rPr>
        <w:t xml:space="preserve"> th</w:t>
      </w:r>
      <w:r w:rsidR="00AB454A" w:rsidRPr="00A736DA">
        <w:rPr>
          <w:rFonts w:ascii="sans-serif" w:hAnsi="sans-serif"/>
          <w:sz w:val="22"/>
          <w:szCs w:val="22"/>
        </w:rPr>
        <w:t xml:space="preserve">at the </w:t>
      </w:r>
      <w:r w:rsidR="00E577CA" w:rsidRPr="00A736DA">
        <w:rPr>
          <w:rFonts w:ascii="sans-serif" w:hAnsi="sans-serif"/>
          <w:sz w:val="22"/>
          <w:szCs w:val="22"/>
        </w:rPr>
        <w:t xml:space="preserve">Freemans Bay North area lacks open spaces/parks. Any further development without additional parks being created would run contrary to Auckland Council’s Urban </w:t>
      </w:r>
      <w:proofErr w:type="spellStart"/>
      <w:r w:rsidR="00E577CA" w:rsidRPr="00A736DA">
        <w:rPr>
          <w:rFonts w:ascii="sans-serif" w:hAnsi="sans-serif"/>
          <w:sz w:val="22"/>
          <w:szCs w:val="22"/>
        </w:rPr>
        <w:t>Ngahere</w:t>
      </w:r>
      <w:proofErr w:type="spellEnd"/>
      <w:r w:rsidR="00E577CA" w:rsidRPr="00A736DA">
        <w:rPr>
          <w:rFonts w:ascii="sans-serif" w:hAnsi="sans-serif"/>
          <w:sz w:val="22"/>
          <w:szCs w:val="22"/>
        </w:rPr>
        <w:t xml:space="preserve"> </w:t>
      </w:r>
      <w:r w:rsidR="00190320" w:rsidRPr="00A736DA">
        <w:rPr>
          <w:rFonts w:ascii="sans-serif" w:hAnsi="sans-serif"/>
          <w:sz w:val="22"/>
          <w:szCs w:val="22"/>
        </w:rPr>
        <w:t>Strategy</w:t>
      </w:r>
      <w:r w:rsidR="00E577CA" w:rsidRPr="00A736DA">
        <w:rPr>
          <w:rFonts w:ascii="sans-serif" w:hAnsi="sans-serif"/>
          <w:sz w:val="22"/>
          <w:szCs w:val="22"/>
        </w:rPr>
        <w:t xml:space="preserve"> and Climate</w:t>
      </w:r>
      <w:r w:rsidR="007F2608" w:rsidRPr="00A736DA">
        <w:rPr>
          <w:rFonts w:ascii="sans-serif" w:hAnsi="sans-serif"/>
          <w:sz w:val="22"/>
          <w:szCs w:val="22"/>
        </w:rPr>
        <w:t xml:space="preserve"> Plan 2020</w:t>
      </w:r>
    </w:p>
    <w:p w14:paraId="1143AB1D" w14:textId="74782A42" w:rsidR="00061719" w:rsidRPr="00050D06" w:rsidRDefault="009C16D9" w:rsidP="00061719">
      <w:pPr>
        <w:rPr>
          <w:sz w:val="22"/>
          <w:szCs w:val="22"/>
        </w:rPr>
      </w:pPr>
      <w:r w:rsidRPr="00A736DA">
        <w:rPr>
          <w:rFonts w:ascii="Arial" w:hAnsi="Arial" w:cs="Arial"/>
          <w:sz w:val="22"/>
          <w:szCs w:val="22"/>
        </w:rPr>
        <w:t>11</w:t>
      </w:r>
      <w:r w:rsidR="00061A95" w:rsidRPr="00A736DA">
        <w:rPr>
          <w:rFonts w:ascii="Arial" w:hAnsi="Arial" w:cs="Arial"/>
          <w:bCs/>
          <w:sz w:val="22"/>
          <w:szCs w:val="22"/>
        </w:rPr>
        <w:t>.</w:t>
      </w:r>
      <w:r w:rsidR="00061719" w:rsidRPr="00A736DA">
        <w:rPr>
          <w:rFonts w:ascii="Arial" w:eastAsia="Times New Roman" w:hAnsi="Arial" w:cs="Arial"/>
          <w:color w:val="000000"/>
          <w:sz w:val="22"/>
          <w:szCs w:val="22"/>
          <w:lang w:val="en-NZ"/>
        </w:rPr>
        <w:t xml:space="preserve"> I do not support the numerical scoring system used by Council to individually rate each property in the Character Area overlay</w:t>
      </w:r>
      <w:r w:rsidR="00050D06">
        <w:rPr>
          <w:rFonts w:ascii="Arial" w:eastAsia="Times New Roman" w:hAnsi="Arial" w:cs="Arial"/>
          <w:color w:val="000000"/>
          <w:sz w:val="22"/>
          <w:szCs w:val="22"/>
          <w:lang w:val="en-NZ"/>
        </w:rPr>
        <w:t xml:space="preserve"> </w:t>
      </w:r>
      <w:r w:rsidR="00050D06" w:rsidRPr="00A736DA">
        <w:rPr>
          <w:rFonts w:ascii="Arial" w:hAnsi="Arial" w:cs="Arial"/>
          <w:color w:val="000000"/>
          <w:sz w:val="22"/>
          <w:szCs w:val="22"/>
        </w:rPr>
        <w:t>and request this to be reconsidered.</w:t>
      </w:r>
      <w:r w:rsidR="00050D06">
        <w:rPr>
          <w:rFonts w:ascii="Arial" w:eastAsia="Times New Roman" w:hAnsi="Arial" w:cs="Arial"/>
          <w:color w:val="000000"/>
          <w:sz w:val="22"/>
          <w:szCs w:val="22"/>
          <w:lang w:val="en-NZ"/>
        </w:rPr>
        <w:t xml:space="preserve"> </w:t>
      </w:r>
      <w:r w:rsidR="00061719" w:rsidRPr="00A736DA">
        <w:rPr>
          <w:rFonts w:ascii="Arial" w:eastAsia="Times New Roman" w:hAnsi="Arial" w:cs="Arial"/>
          <w:color w:val="000000"/>
          <w:sz w:val="22"/>
          <w:szCs w:val="22"/>
          <w:lang w:val="en-NZ"/>
        </w:rPr>
        <w:t>The scoring applied is arbitrary, and the survey by its nature relies on the depth of knowledge and understanding of each reviewer.   Council was given an impossible task in the timeframe set by the legislation..  Council officers have done their best, however they did not consult with the community in creating this methodology, and had the constraints of both time and the Covid restrictions to work with.  There are errors as a result, and biases that are possibly unintended, but which have huge effect on the outcome of the survey given that these numbers have been used to 'rate' the character value of parts of the area overlay and this has resulted in splits and losses of parts of the overall area.</w:t>
      </w:r>
    </w:p>
    <w:p w14:paraId="305C67C2" w14:textId="6C083B91" w:rsidR="0057064A" w:rsidRPr="00A736DA" w:rsidRDefault="0057064A" w:rsidP="0057064A">
      <w:pPr>
        <w:rPr>
          <w:rFonts w:ascii="Arial" w:hAnsi="Arial" w:cs="Arial"/>
          <w:bCs/>
          <w:sz w:val="22"/>
          <w:szCs w:val="22"/>
        </w:rPr>
      </w:pPr>
    </w:p>
    <w:p w14:paraId="6405379E" w14:textId="77777777" w:rsidR="0057064A" w:rsidRPr="00A736DA" w:rsidRDefault="0057064A" w:rsidP="0057064A">
      <w:pPr>
        <w:rPr>
          <w:rFonts w:ascii="Arial" w:hAnsi="Arial" w:cs="Arial"/>
          <w:bCs/>
          <w:sz w:val="22"/>
          <w:szCs w:val="22"/>
        </w:rPr>
      </w:pPr>
    </w:p>
    <w:p w14:paraId="5FE4E457" w14:textId="7276ADC9" w:rsidR="00061719" w:rsidRPr="00A736DA" w:rsidRDefault="009C16D9" w:rsidP="00061719">
      <w:pPr>
        <w:rPr>
          <w:sz w:val="22"/>
          <w:szCs w:val="22"/>
        </w:rPr>
      </w:pPr>
      <w:r w:rsidRPr="00A736DA">
        <w:rPr>
          <w:rFonts w:ascii="Arial" w:hAnsi="Arial" w:cs="Arial"/>
          <w:bCs/>
          <w:sz w:val="22"/>
          <w:szCs w:val="22"/>
        </w:rPr>
        <w:t xml:space="preserve">12. </w:t>
      </w:r>
      <w:r w:rsidR="0057064A" w:rsidRPr="00A736DA">
        <w:rPr>
          <w:rFonts w:ascii="Arial" w:hAnsi="Arial" w:cs="Arial"/>
          <w:bCs/>
          <w:sz w:val="22"/>
          <w:szCs w:val="22"/>
        </w:rPr>
        <w:t xml:space="preserve"> </w:t>
      </w:r>
      <w:r w:rsidR="00A736DA" w:rsidRPr="00A736DA">
        <w:rPr>
          <w:rFonts w:ascii="Arial" w:hAnsi="Arial" w:cs="Arial"/>
          <w:bCs/>
          <w:sz w:val="22"/>
          <w:szCs w:val="22"/>
        </w:rPr>
        <w:t xml:space="preserve">The 66% and 75% thresholds are </w:t>
      </w:r>
      <w:r w:rsidR="00A736DA" w:rsidRPr="00A736DA">
        <w:rPr>
          <w:rFonts w:ascii="Arial" w:hAnsi="Arial" w:cs="Arial"/>
          <w:sz w:val="22"/>
          <w:szCs w:val="22"/>
        </w:rPr>
        <w:t xml:space="preserve">an </w:t>
      </w:r>
      <w:r w:rsidR="00A736DA" w:rsidRPr="00A736DA">
        <w:rPr>
          <w:rFonts w:ascii="Arial" w:hAnsi="Arial" w:cs="Arial"/>
          <w:bCs/>
          <w:sz w:val="22"/>
          <w:szCs w:val="22"/>
        </w:rPr>
        <w:t>arbitrary threshold unilaterally imposed by the Council without any statutory or evidential foundation</w:t>
      </w:r>
      <w:r w:rsidR="00A736DA" w:rsidRPr="00A736DA">
        <w:rPr>
          <w:rFonts w:ascii="Arial" w:hAnsi="Arial" w:cs="Arial"/>
          <w:sz w:val="22"/>
          <w:szCs w:val="22"/>
        </w:rPr>
        <w:t xml:space="preserve">. </w:t>
      </w:r>
      <w:r w:rsidR="00061719" w:rsidRPr="00A736DA">
        <w:rPr>
          <w:rFonts w:ascii="Arial" w:hAnsi="Arial" w:cs="Arial"/>
          <w:color w:val="000000"/>
          <w:sz w:val="22"/>
          <w:szCs w:val="22"/>
        </w:rPr>
        <w:t xml:space="preserve">The thresholds have been applied based on those percentages (which are set through the scoring system which </w:t>
      </w:r>
      <w:r w:rsidR="00A736DA" w:rsidRPr="00A736DA">
        <w:rPr>
          <w:rFonts w:ascii="Arial" w:hAnsi="Arial" w:cs="Arial"/>
          <w:color w:val="000000"/>
          <w:sz w:val="22"/>
          <w:szCs w:val="22"/>
        </w:rPr>
        <w:t>I</w:t>
      </w:r>
      <w:r w:rsidR="00061719" w:rsidRPr="00A736DA">
        <w:rPr>
          <w:rFonts w:ascii="Arial" w:hAnsi="Arial" w:cs="Arial"/>
          <w:color w:val="000000"/>
          <w:sz w:val="22"/>
          <w:szCs w:val="22"/>
        </w:rPr>
        <w:t xml:space="preserve"> do not support) to determine whether parts of the SCAs that fall within 'walkable catchments' should retain the overlay.  </w:t>
      </w:r>
      <w:r w:rsidR="00A736DA" w:rsidRPr="00A736DA">
        <w:rPr>
          <w:rFonts w:ascii="Arial" w:hAnsi="Arial" w:cs="Arial"/>
          <w:color w:val="000000"/>
          <w:sz w:val="22"/>
          <w:szCs w:val="22"/>
        </w:rPr>
        <w:t>I</w:t>
      </w:r>
      <w:r w:rsidR="00061719" w:rsidRPr="00A736DA">
        <w:rPr>
          <w:rFonts w:ascii="Arial" w:hAnsi="Arial" w:cs="Arial"/>
          <w:color w:val="000000"/>
          <w:sz w:val="22"/>
          <w:szCs w:val="22"/>
        </w:rPr>
        <w:t xml:space="preserve"> do not support this methodology as it stands and </w:t>
      </w:r>
      <w:r w:rsidR="00A736DA" w:rsidRPr="00A736DA">
        <w:rPr>
          <w:rFonts w:ascii="Arial" w:hAnsi="Arial" w:cs="Arial"/>
          <w:color w:val="000000"/>
          <w:sz w:val="22"/>
          <w:szCs w:val="22"/>
        </w:rPr>
        <w:t>request</w:t>
      </w:r>
      <w:r w:rsidR="00061719" w:rsidRPr="00A736DA">
        <w:rPr>
          <w:rFonts w:ascii="Arial" w:hAnsi="Arial" w:cs="Arial"/>
          <w:color w:val="000000"/>
          <w:sz w:val="22"/>
          <w:szCs w:val="22"/>
        </w:rPr>
        <w:t xml:space="preserve"> this to be reconsidered.</w:t>
      </w:r>
    </w:p>
    <w:p w14:paraId="7DEB9A69" w14:textId="48FB12F2" w:rsidR="005A76AF" w:rsidRPr="00A736DA" w:rsidRDefault="00061719" w:rsidP="00061719">
      <w:pPr>
        <w:rPr>
          <w:rFonts w:ascii="Helvetica" w:hAnsi="Helvetica"/>
          <w:sz w:val="22"/>
          <w:szCs w:val="22"/>
        </w:rPr>
      </w:pPr>
      <w:r w:rsidRPr="00A736DA">
        <w:rPr>
          <w:rFonts w:ascii="Arial" w:hAnsi="Arial" w:cs="Arial"/>
          <w:bCs/>
          <w:sz w:val="22"/>
          <w:szCs w:val="22"/>
        </w:rPr>
        <w:t xml:space="preserve"> </w:t>
      </w:r>
    </w:p>
    <w:p w14:paraId="7C74AD54" w14:textId="78F51841" w:rsidR="00985C57" w:rsidRPr="00A736DA" w:rsidRDefault="00487C11" w:rsidP="005A76AF">
      <w:pPr>
        <w:rPr>
          <w:rFonts w:ascii="Helvetica" w:hAnsi="Helvetica"/>
          <w:sz w:val="22"/>
          <w:szCs w:val="22"/>
        </w:rPr>
      </w:pPr>
      <w:r w:rsidRPr="00A736DA">
        <w:rPr>
          <w:rFonts w:ascii="Helvetica" w:hAnsi="Helvetica"/>
          <w:sz w:val="22"/>
          <w:szCs w:val="22"/>
        </w:rPr>
        <w:t>1</w:t>
      </w:r>
      <w:r w:rsidR="005A76AF" w:rsidRPr="00A736DA">
        <w:rPr>
          <w:rFonts w:ascii="Helvetica" w:hAnsi="Helvetica"/>
          <w:sz w:val="22"/>
          <w:szCs w:val="22"/>
        </w:rPr>
        <w:t>3</w:t>
      </w:r>
      <w:r w:rsidRPr="00A736DA">
        <w:rPr>
          <w:rFonts w:ascii="Helvetica" w:hAnsi="Helvetica"/>
          <w:sz w:val="22"/>
          <w:szCs w:val="22"/>
        </w:rPr>
        <w:t xml:space="preserve">. </w:t>
      </w:r>
      <w:r w:rsidR="00985C57" w:rsidRPr="00A736DA">
        <w:rPr>
          <w:rFonts w:ascii="Helvetica" w:hAnsi="Helvetica"/>
          <w:sz w:val="22"/>
          <w:szCs w:val="22"/>
        </w:rPr>
        <w:t xml:space="preserve">Generally no planning has been undertaken or controls proposed as to how intensification is to be successfully implemented to avoid or mitigate adverse effects. </w:t>
      </w:r>
      <w:r w:rsidR="005A76AF" w:rsidRPr="00A736DA">
        <w:rPr>
          <w:rFonts w:ascii="Helvetica" w:hAnsi="Helvetica"/>
          <w:sz w:val="22"/>
          <w:szCs w:val="22"/>
        </w:rPr>
        <w:t xml:space="preserve">In relation to the THAB zone’s no effective standards have been proposed to protect privacy and </w:t>
      </w:r>
      <w:proofErr w:type="spellStart"/>
      <w:r w:rsidR="005A76AF" w:rsidRPr="00A736DA">
        <w:rPr>
          <w:rFonts w:ascii="Helvetica" w:hAnsi="Helvetica"/>
          <w:sz w:val="22"/>
          <w:szCs w:val="22"/>
        </w:rPr>
        <w:t>dighlight</w:t>
      </w:r>
      <w:proofErr w:type="spellEnd"/>
      <w:r w:rsidR="005A76AF" w:rsidRPr="00A736DA">
        <w:rPr>
          <w:rFonts w:ascii="Helvetica" w:hAnsi="Helvetica"/>
          <w:sz w:val="22"/>
          <w:szCs w:val="22"/>
        </w:rPr>
        <w:t xml:space="preserve"> access to developments within and beyond the THAB zone.</w:t>
      </w:r>
    </w:p>
    <w:p w14:paraId="6DB06853" w14:textId="239F3BF4" w:rsidR="00140F1B" w:rsidRPr="00A736DA" w:rsidRDefault="00140F1B" w:rsidP="005A76AF">
      <w:pPr>
        <w:rPr>
          <w:rFonts w:ascii="Helvetica" w:hAnsi="Helvetica"/>
          <w:sz w:val="22"/>
          <w:szCs w:val="22"/>
        </w:rPr>
      </w:pPr>
    </w:p>
    <w:p w14:paraId="2ECBC699" w14:textId="1CE3A20D" w:rsidR="00140F1B" w:rsidRPr="00A736DA" w:rsidRDefault="00140F1B" w:rsidP="005A76AF">
      <w:pPr>
        <w:rPr>
          <w:rFonts w:ascii="sans-serif" w:hAnsi="sans-serif"/>
          <w:sz w:val="22"/>
          <w:szCs w:val="22"/>
        </w:rPr>
      </w:pPr>
      <w:r w:rsidRPr="00A736DA">
        <w:rPr>
          <w:rFonts w:ascii="Helvetica" w:hAnsi="Helvetica"/>
          <w:sz w:val="22"/>
          <w:szCs w:val="22"/>
        </w:rPr>
        <w:t xml:space="preserve">14. </w:t>
      </w:r>
      <w:r w:rsidRPr="00A736DA">
        <w:rPr>
          <w:rFonts w:ascii="Arial" w:hAnsi="Arial" w:cs="Arial"/>
          <w:bCs/>
          <w:sz w:val="22"/>
          <w:szCs w:val="22"/>
        </w:rPr>
        <w:t>Overall, the Council has failed in its duty to prepare a plan change which meets the purpose of s32RMA</w:t>
      </w:r>
      <w:r w:rsidR="00050D06">
        <w:rPr>
          <w:rFonts w:ascii="Arial" w:hAnsi="Arial" w:cs="Arial"/>
          <w:bCs/>
          <w:sz w:val="22"/>
          <w:szCs w:val="22"/>
        </w:rPr>
        <w:t xml:space="preserve"> and other sections of the RMA</w:t>
      </w:r>
    </w:p>
    <w:p w14:paraId="67C58AFF" w14:textId="77777777" w:rsidR="001331B7" w:rsidRDefault="001331B7" w:rsidP="00985C57">
      <w:pPr>
        <w:pStyle w:val="NormalWeb"/>
        <w:shd w:val="clear" w:color="auto" w:fill="FFFFFF"/>
        <w:rPr>
          <w:rFonts w:ascii="Helvetica" w:hAnsi="Helvetica"/>
          <w:b/>
          <w:bCs/>
          <w:sz w:val="22"/>
          <w:szCs w:val="22"/>
        </w:rPr>
      </w:pPr>
    </w:p>
    <w:p w14:paraId="5B0D690C" w14:textId="468DD7D6" w:rsidR="00190320" w:rsidRPr="00A736DA" w:rsidRDefault="00985C57" w:rsidP="00985C57">
      <w:pPr>
        <w:pStyle w:val="NormalWeb"/>
        <w:shd w:val="clear" w:color="auto" w:fill="FFFFFF"/>
        <w:rPr>
          <w:rFonts w:ascii="Helvetica" w:hAnsi="Helvetica"/>
          <w:b/>
          <w:bCs/>
          <w:sz w:val="22"/>
          <w:szCs w:val="22"/>
        </w:rPr>
      </w:pPr>
      <w:r w:rsidRPr="00A736DA">
        <w:rPr>
          <w:rFonts w:ascii="Helvetica" w:hAnsi="Helvetica"/>
          <w:b/>
          <w:bCs/>
          <w:sz w:val="22"/>
          <w:szCs w:val="22"/>
        </w:rPr>
        <w:t xml:space="preserve">I wish/do not wish to be heard in support of this submission. </w:t>
      </w:r>
    </w:p>
    <w:p w14:paraId="29B78797" w14:textId="77777777" w:rsidR="001331B7" w:rsidRDefault="001331B7" w:rsidP="00985C57">
      <w:pPr>
        <w:pStyle w:val="NormalWeb"/>
        <w:shd w:val="clear" w:color="auto" w:fill="FFFFFF"/>
        <w:rPr>
          <w:rFonts w:ascii="Helvetica" w:hAnsi="Helvetica"/>
          <w:b/>
          <w:bCs/>
          <w:sz w:val="22"/>
          <w:szCs w:val="22"/>
        </w:rPr>
      </w:pPr>
    </w:p>
    <w:p w14:paraId="232A5917" w14:textId="4A9DFB1E" w:rsidR="00985C57" w:rsidRPr="00A736DA" w:rsidRDefault="00985C57" w:rsidP="00985C57">
      <w:pPr>
        <w:pStyle w:val="NormalWeb"/>
        <w:shd w:val="clear" w:color="auto" w:fill="FFFFFF"/>
        <w:rPr>
          <w:sz w:val="22"/>
          <w:szCs w:val="22"/>
        </w:rPr>
      </w:pPr>
      <w:r w:rsidRPr="00A736DA">
        <w:rPr>
          <w:rFonts w:ascii="Helvetica" w:hAnsi="Helvetica"/>
          <w:b/>
          <w:bCs/>
          <w:sz w:val="22"/>
          <w:szCs w:val="22"/>
        </w:rPr>
        <w:t xml:space="preserve">Signed (Submitter) : </w:t>
      </w:r>
    </w:p>
    <w:p w14:paraId="309AD57D" w14:textId="77777777" w:rsidR="001331B7" w:rsidRDefault="001331B7" w:rsidP="001331B7">
      <w:pPr>
        <w:pStyle w:val="NormalWeb"/>
        <w:shd w:val="clear" w:color="auto" w:fill="FFFFFF"/>
        <w:rPr>
          <w:rFonts w:ascii="Helvetica" w:hAnsi="Helvetica"/>
          <w:b/>
          <w:bCs/>
          <w:sz w:val="22"/>
          <w:szCs w:val="22"/>
        </w:rPr>
      </w:pPr>
    </w:p>
    <w:p w14:paraId="3EA18F20" w14:textId="00D96F98" w:rsidR="00E577CA" w:rsidRPr="001331B7" w:rsidRDefault="00985C57" w:rsidP="001331B7">
      <w:pPr>
        <w:pStyle w:val="NormalWeb"/>
        <w:shd w:val="clear" w:color="auto" w:fill="FFFFFF"/>
        <w:rPr>
          <w:sz w:val="22"/>
          <w:szCs w:val="22"/>
        </w:rPr>
      </w:pPr>
      <w:r w:rsidRPr="00A736DA">
        <w:rPr>
          <w:rFonts w:ascii="Helvetica" w:hAnsi="Helvetica"/>
          <w:b/>
          <w:bCs/>
          <w:sz w:val="22"/>
          <w:szCs w:val="22"/>
        </w:rPr>
        <w:t xml:space="preserve">Date </w:t>
      </w:r>
      <w:r w:rsidR="001331B7">
        <w:rPr>
          <w:rFonts w:ascii="Helvetica" w:hAnsi="Helvetica"/>
          <w:b/>
          <w:bCs/>
          <w:sz w:val="22"/>
          <w:szCs w:val="22"/>
        </w:rPr>
        <w:t>:</w:t>
      </w:r>
    </w:p>
    <w:p w14:paraId="4A7DB06D" w14:textId="5AE7287C" w:rsidR="00D21FE6" w:rsidRPr="00A736DA" w:rsidRDefault="00342B04" w:rsidP="00E577CA">
      <w:pPr>
        <w:rPr>
          <w:sz w:val="22"/>
          <w:szCs w:val="22"/>
        </w:rPr>
      </w:pPr>
    </w:p>
    <w:sectPr w:rsidR="00D21FE6" w:rsidRPr="00A736DA" w:rsidSect="00710E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00500000000000000"/>
    <w:charset w:val="00"/>
    <w:family w:val="roman"/>
    <w:pitch w:val="variable"/>
    <w:sig w:usb0="20002A87" w:usb1="80000000" w:usb2="00000008" w:usb3="00000000" w:csb0="000001FF" w:csb1="00000000"/>
  </w:font>
  <w:font w:name="Helvetica">
    <w:panose1 w:val="00000000000000000000"/>
    <w:charset w:val="00"/>
    <w:family w:val="auto"/>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ans-serif">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57"/>
    <w:rsid w:val="00036B86"/>
    <w:rsid w:val="00050D06"/>
    <w:rsid w:val="00061719"/>
    <w:rsid w:val="00061A95"/>
    <w:rsid w:val="000A0B3F"/>
    <w:rsid w:val="000D0D0C"/>
    <w:rsid w:val="000F3E5E"/>
    <w:rsid w:val="001331B7"/>
    <w:rsid w:val="00140F1B"/>
    <w:rsid w:val="00190320"/>
    <w:rsid w:val="00240D27"/>
    <w:rsid w:val="002B75E7"/>
    <w:rsid w:val="002D0D2F"/>
    <w:rsid w:val="002F3789"/>
    <w:rsid w:val="00342B04"/>
    <w:rsid w:val="00414357"/>
    <w:rsid w:val="00487C11"/>
    <w:rsid w:val="004A08A7"/>
    <w:rsid w:val="00512EE1"/>
    <w:rsid w:val="0057064A"/>
    <w:rsid w:val="00587D62"/>
    <w:rsid w:val="005A76AF"/>
    <w:rsid w:val="00710E97"/>
    <w:rsid w:val="007F2608"/>
    <w:rsid w:val="008552AB"/>
    <w:rsid w:val="008926D0"/>
    <w:rsid w:val="0092611B"/>
    <w:rsid w:val="00985C57"/>
    <w:rsid w:val="009C16D9"/>
    <w:rsid w:val="00A13386"/>
    <w:rsid w:val="00A347EE"/>
    <w:rsid w:val="00A736DA"/>
    <w:rsid w:val="00AB285B"/>
    <w:rsid w:val="00AB454A"/>
    <w:rsid w:val="00BF0F51"/>
    <w:rsid w:val="00C319AC"/>
    <w:rsid w:val="00C67EF7"/>
    <w:rsid w:val="00CF755C"/>
    <w:rsid w:val="00E5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97DF"/>
  <w14:defaultImageDpi w14:val="32767"/>
  <w15:chartTrackingRefBased/>
  <w15:docId w15:val="{8865EBAC-9995-894A-A902-661C312B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5C57"/>
    <w:pPr>
      <w:spacing w:before="100" w:beforeAutospacing="1" w:after="100" w:afterAutospacing="1"/>
    </w:pPr>
    <w:rPr>
      <w:rFonts w:ascii="Times New Roman" w:eastAsia="Times New Roman" w:hAnsi="Times New Roman" w:cs="Times New Roman"/>
      <w:lang w:val="en-NZ"/>
    </w:rPr>
  </w:style>
  <w:style w:type="paragraph" w:styleId="BalloonText">
    <w:name w:val="Balloon Text"/>
    <w:basedOn w:val="Normal"/>
    <w:link w:val="BalloonTextChar"/>
    <w:uiPriority w:val="99"/>
    <w:semiHidden/>
    <w:unhideWhenUsed/>
    <w:rsid w:val="00A347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47EE"/>
    <w:rPr>
      <w:rFonts w:ascii="Times New Roman" w:hAnsi="Times New Roman" w:cs="Times New Roman"/>
      <w:sz w:val="18"/>
      <w:szCs w:val="18"/>
    </w:rPr>
  </w:style>
  <w:style w:type="paragraph" w:styleId="NoSpacing">
    <w:name w:val="No Spacing"/>
    <w:uiPriority w:val="1"/>
    <w:qFormat/>
    <w:rsid w:val="00AB285B"/>
  </w:style>
  <w:style w:type="paragraph" w:styleId="Revision">
    <w:name w:val="Revision"/>
    <w:hidden/>
    <w:uiPriority w:val="99"/>
    <w:semiHidden/>
    <w:rsid w:val="004A08A7"/>
  </w:style>
  <w:style w:type="paragraph" w:styleId="PlainText">
    <w:name w:val="Plain Text"/>
    <w:basedOn w:val="Normal"/>
    <w:link w:val="PlainTextChar"/>
    <w:uiPriority w:val="99"/>
    <w:semiHidden/>
    <w:unhideWhenUsed/>
    <w:rsid w:val="004A08A7"/>
    <w:rPr>
      <w:rFonts w:ascii="Calibri" w:hAnsi="Calibri"/>
      <w:sz w:val="22"/>
      <w:szCs w:val="21"/>
      <w:lang w:val="en-NZ"/>
    </w:rPr>
  </w:style>
  <w:style w:type="character" w:customStyle="1" w:styleId="PlainTextChar">
    <w:name w:val="Plain Text Char"/>
    <w:basedOn w:val="DefaultParagraphFont"/>
    <w:link w:val="PlainText"/>
    <w:uiPriority w:val="99"/>
    <w:semiHidden/>
    <w:rsid w:val="004A08A7"/>
    <w:rPr>
      <w:rFonts w:ascii="Calibri" w:hAnsi="Calibri"/>
      <w:sz w:val="22"/>
      <w:szCs w:val="21"/>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41283">
      <w:bodyDiv w:val="1"/>
      <w:marLeft w:val="0"/>
      <w:marRight w:val="0"/>
      <w:marTop w:val="0"/>
      <w:marBottom w:val="0"/>
      <w:divBdr>
        <w:top w:val="none" w:sz="0" w:space="0" w:color="auto"/>
        <w:left w:val="none" w:sz="0" w:space="0" w:color="auto"/>
        <w:bottom w:val="none" w:sz="0" w:space="0" w:color="auto"/>
        <w:right w:val="none" w:sz="0" w:space="0" w:color="auto"/>
      </w:divBdr>
    </w:div>
    <w:div w:id="543294456">
      <w:bodyDiv w:val="1"/>
      <w:marLeft w:val="0"/>
      <w:marRight w:val="0"/>
      <w:marTop w:val="0"/>
      <w:marBottom w:val="0"/>
      <w:divBdr>
        <w:top w:val="none" w:sz="0" w:space="0" w:color="auto"/>
        <w:left w:val="none" w:sz="0" w:space="0" w:color="auto"/>
        <w:bottom w:val="none" w:sz="0" w:space="0" w:color="auto"/>
        <w:right w:val="none" w:sz="0" w:space="0" w:color="auto"/>
      </w:divBdr>
    </w:div>
    <w:div w:id="1121656680">
      <w:bodyDiv w:val="1"/>
      <w:marLeft w:val="0"/>
      <w:marRight w:val="0"/>
      <w:marTop w:val="0"/>
      <w:marBottom w:val="0"/>
      <w:divBdr>
        <w:top w:val="none" w:sz="0" w:space="0" w:color="auto"/>
        <w:left w:val="none" w:sz="0" w:space="0" w:color="auto"/>
        <w:bottom w:val="none" w:sz="0" w:space="0" w:color="auto"/>
        <w:right w:val="none" w:sz="0" w:space="0" w:color="auto"/>
      </w:divBdr>
    </w:div>
    <w:div w:id="1366054036">
      <w:bodyDiv w:val="1"/>
      <w:marLeft w:val="0"/>
      <w:marRight w:val="0"/>
      <w:marTop w:val="0"/>
      <w:marBottom w:val="0"/>
      <w:divBdr>
        <w:top w:val="none" w:sz="0" w:space="0" w:color="auto"/>
        <w:left w:val="none" w:sz="0" w:space="0" w:color="auto"/>
        <w:bottom w:val="none" w:sz="0" w:space="0" w:color="auto"/>
        <w:right w:val="none" w:sz="0" w:space="0" w:color="auto"/>
      </w:divBdr>
      <w:divsChild>
        <w:div w:id="591285134">
          <w:marLeft w:val="0"/>
          <w:marRight w:val="0"/>
          <w:marTop w:val="0"/>
          <w:marBottom w:val="0"/>
          <w:divBdr>
            <w:top w:val="none" w:sz="0" w:space="0" w:color="auto"/>
            <w:left w:val="none" w:sz="0" w:space="0" w:color="auto"/>
            <w:bottom w:val="none" w:sz="0" w:space="0" w:color="auto"/>
            <w:right w:val="none" w:sz="0" w:space="0" w:color="auto"/>
          </w:divBdr>
          <w:divsChild>
            <w:div w:id="920023539">
              <w:marLeft w:val="0"/>
              <w:marRight w:val="0"/>
              <w:marTop w:val="0"/>
              <w:marBottom w:val="0"/>
              <w:divBdr>
                <w:top w:val="none" w:sz="0" w:space="0" w:color="auto"/>
                <w:left w:val="none" w:sz="0" w:space="0" w:color="auto"/>
                <w:bottom w:val="none" w:sz="0" w:space="0" w:color="auto"/>
                <w:right w:val="none" w:sz="0" w:space="0" w:color="auto"/>
              </w:divBdr>
              <w:divsChild>
                <w:div w:id="1130903287">
                  <w:marLeft w:val="0"/>
                  <w:marRight w:val="0"/>
                  <w:marTop w:val="0"/>
                  <w:marBottom w:val="0"/>
                  <w:divBdr>
                    <w:top w:val="none" w:sz="0" w:space="0" w:color="auto"/>
                    <w:left w:val="none" w:sz="0" w:space="0" w:color="auto"/>
                    <w:bottom w:val="none" w:sz="0" w:space="0" w:color="auto"/>
                    <w:right w:val="none" w:sz="0" w:space="0" w:color="auto"/>
                  </w:divBdr>
                  <w:divsChild>
                    <w:div w:id="10075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0798">
          <w:marLeft w:val="0"/>
          <w:marRight w:val="0"/>
          <w:marTop w:val="0"/>
          <w:marBottom w:val="0"/>
          <w:divBdr>
            <w:top w:val="none" w:sz="0" w:space="0" w:color="auto"/>
            <w:left w:val="none" w:sz="0" w:space="0" w:color="auto"/>
            <w:bottom w:val="none" w:sz="0" w:space="0" w:color="auto"/>
            <w:right w:val="none" w:sz="0" w:space="0" w:color="auto"/>
          </w:divBdr>
          <w:divsChild>
            <w:div w:id="1587611517">
              <w:marLeft w:val="0"/>
              <w:marRight w:val="0"/>
              <w:marTop w:val="0"/>
              <w:marBottom w:val="0"/>
              <w:divBdr>
                <w:top w:val="none" w:sz="0" w:space="0" w:color="auto"/>
                <w:left w:val="none" w:sz="0" w:space="0" w:color="auto"/>
                <w:bottom w:val="none" w:sz="0" w:space="0" w:color="auto"/>
                <w:right w:val="none" w:sz="0" w:space="0" w:color="auto"/>
              </w:divBdr>
              <w:divsChild>
                <w:div w:id="2080976526">
                  <w:marLeft w:val="0"/>
                  <w:marRight w:val="0"/>
                  <w:marTop w:val="0"/>
                  <w:marBottom w:val="0"/>
                  <w:divBdr>
                    <w:top w:val="none" w:sz="0" w:space="0" w:color="auto"/>
                    <w:left w:val="none" w:sz="0" w:space="0" w:color="auto"/>
                    <w:bottom w:val="none" w:sz="0" w:space="0" w:color="auto"/>
                    <w:right w:val="none" w:sz="0" w:space="0" w:color="auto"/>
                  </w:divBdr>
                  <w:divsChild>
                    <w:div w:id="766658565">
                      <w:marLeft w:val="0"/>
                      <w:marRight w:val="0"/>
                      <w:marTop w:val="0"/>
                      <w:marBottom w:val="0"/>
                      <w:divBdr>
                        <w:top w:val="none" w:sz="0" w:space="0" w:color="auto"/>
                        <w:left w:val="none" w:sz="0" w:space="0" w:color="auto"/>
                        <w:bottom w:val="none" w:sz="0" w:space="0" w:color="auto"/>
                        <w:right w:val="none" w:sz="0" w:space="0" w:color="auto"/>
                      </w:divBdr>
                    </w:div>
                  </w:divsChild>
                </w:div>
                <w:div w:id="789008942">
                  <w:marLeft w:val="0"/>
                  <w:marRight w:val="0"/>
                  <w:marTop w:val="0"/>
                  <w:marBottom w:val="0"/>
                  <w:divBdr>
                    <w:top w:val="none" w:sz="0" w:space="0" w:color="auto"/>
                    <w:left w:val="none" w:sz="0" w:space="0" w:color="auto"/>
                    <w:bottom w:val="none" w:sz="0" w:space="0" w:color="auto"/>
                    <w:right w:val="none" w:sz="0" w:space="0" w:color="auto"/>
                  </w:divBdr>
                  <w:divsChild>
                    <w:div w:id="5250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7243">
          <w:marLeft w:val="0"/>
          <w:marRight w:val="0"/>
          <w:marTop w:val="0"/>
          <w:marBottom w:val="0"/>
          <w:divBdr>
            <w:top w:val="none" w:sz="0" w:space="0" w:color="auto"/>
            <w:left w:val="none" w:sz="0" w:space="0" w:color="auto"/>
            <w:bottom w:val="none" w:sz="0" w:space="0" w:color="auto"/>
            <w:right w:val="none" w:sz="0" w:space="0" w:color="auto"/>
          </w:divBdr>
          <w:divsChild>
            <w:div w:id="1414207116">
              <w:marLeft w:val="0"/>
              <w:marRight w:val="0"/>
              <w:marTop w:val="0"/>
              <w:marBottom w:val="0"/>
              <w:divBdr>
                <w:top w:val="none" w:sz="0" w:space="0" w:color="auto"/>
                <w:left w:val="none" w:sz="0" w:space="0" w:color="auto"/>
                <w:bottom w:val="none" w:sz="0" w:space="0" w:color="auto"/>
                <w:right w:val="none" w:sz="0" w:space="0" w:color="auto"/>
              </w:divBdr>
              <w:divsChild>
                <w:div w:id="934753709">
                  <w:marLeft w:val="0"/>
                  <w:marRight w:val="0"/>
                  <w:marTop w:val="0"/>
                  <w:marBottom w:val="0"/>
                  <w:divBdr>
                    <w:top w:val="none" w:sz="0" w:space="0" w:color="auto"/>
                    <w:left w:val="none" w:sz="0" w:space="0" w:color="auto"/>
                    <w:bottom w:val="none" w:sz="0" w:space="0" w:color="auto"/>
                    <w:right w:val="none" w:sz="0" w:space="0" w:color="auto"/>
                  </w:divBdr>
                  <w:divsChild>
                    <w:div w:id="15014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Lund</dc:creator>
  <cp:keywords/>
  <dc:description/>
  <cp:lastModifiedBy>Trevor Lund</cp:lastModifiedBy>
  <cp:revision>4</cp:revision>
  <cp:lastPrinted>2022-09-16T02:17:00Z</cp:lastPrinted>
  <dcterms:created xsi:type="dcterms:W3CDTF">2022-09-16T23:34:00Z</dcterms:created>
  <dcterms:modified xsi:type="dcterms:W3CDTF">2022-09-16T23:39:00Z</dcterms:modified>
</cp:coreProperties>
</file>